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5B" w:rsidRDefault="00CE106E">
      <w:pPr>
        <w:rPr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：</w:t>
      </w:r>
    </w:p>
    <w:p w:rsidR="00577A5B" w:rsidRDefault="00577A5B">
      <w:pPr>
        <w:rPr>
          <w:rFonts w:ascii="宋体" w:eastAsia="宋体" w:hAnsi="宋体" w:cs="宋体"/>
          <w:sz w:val="24"/>
          <w:szCs w:val="24"/>
        </w:rPr>
      </w:pPr>
    </w:p>
    <w:p w:rsidR="00172CE9" w:rsidRDefault="00172CE9" w:rsidP="00172CE9">
      <w:pPr>
        <w:spacing w:line="540" w:lineRule="exact"/>
        <w:jc w:val="center"/>
        <w:rPr>
          <w:rFonts w:ascii="Times New Roman" w:hAnsi="Times New Roman"/>
          <w:b/>
          <w:bCs/>
          <w:sz w:val="44"/>
          <w:szCs w:val="18"/>
        </w:rPr>
      </w:pPr>
      <w:r>
        <w:rPr>
          <w:rFonts w:ascii="Times New Roman" w:eastAsia="方正小标宋_GBK" w:hAnsi="Times New Roman"/>
          <w:sz w:val="44"/>
          <w:szCs w:val="18"/>
        </w:rPr>
        <w:t>学院</w:t>
      </w:r>
      <w:r>
        <w:rPr>
          <w:rFonts w:ascii="Times New Roman" w:eastAsia="方正小标宋_GBK" w:hAnsi="Times New Roman"/>
          <w:sz w:val="44"/>
          <w:szCs w:val="18"/>
        </w:rPr>
        <w:t>“</w:t>
      </w:r>
      <w:r>
        <w:rPr>
          <w:rFonts w:ascii="Times New Roman" w:eastAsia="方正小标宋_GBK" w:hAnsi="Times New Roman"/>
          <w:sz w:val="44"/>
          <w:szCs w:val="18"/>
        </w:rPr>
        <w:t>十四五</w:t>
      </w:r>
      <w:r>
        <w:rPr>
          <w:rFonts w:ascii="Times New Roman" w:eastAsia="方正小标宋_GBK" w:hAnsi="Times New Roman"/>
          <w:sz w:val="44"/>
          <w:szCs w:val="18"/>
        </w:rPr>
        <w:t>”</w:t>
      </w:r>
      <w:r w:rsidR="001C19B3">
        <w:rPr>
          <w:rFonts w:ascii="Times New Roman" w:eastAsia="方正小标宋_GBK" w:hAnsi="Times New Roman" w:hint="eastAsia"/>
          <w:sz w:val="44"/>
          <w:szCs w:val="18"/>
        </w:rPr>
        <w:t>师资队伍专项</w:t>
      </w:r>
      <w:r>
        <w:rPr>
          <w:rFonts w:ascii="Times New Roman" w:eastAsia="方正小标宋_GBK" w:hAnsi="Times New Roman"/>
          <w:sz w:val="44"/>
          <w:szCs w:val="18"/>
        </w:rPr>
        <w:t>规划编写参考提纲</w:t>
      </w:r>
    </w:p>
    <w:p w:rsidR="00172CE9" w:rsidRPr="001C19B3" w:rsidRDefault="00172CE9" w:rsidP="00172CE9">
      <w:pPr>
        <w:spacing w:line="540" w:lineRule="exact"/>
        <w:rPr>
          <w:rFonts w:ascii="Times New Roman" w:eastAsia="楷体_GB2312" w:hAnsi="Times New Roman"/>
          <w:b/>
          <w:bCs/>
        </w:rPr>
      </w:pPr>
    </w:p>
    <w:p w:rsidR="00172CE9" w:rsidRDefault="00172CE9" w:rsidP="00172CE9">
      <w:pPr>
        <w:spacing w:line="540" w:lineRule="exact"/>
        <w:ind w:firstLine="743"/>
        <w:rPr>
          <w:rFonts w:ascii="Times New Roman" w:eastAsia="楷体" w:hAnsi="Times New Roman"/>
          <w:sz w:val="32"/>
        </w:rPr>
      </w:pPr>
      <w:r>
        <w:rPr>
          <w:rFonts w:ascii="Times New Roman" w:eastAsia="黑体" w:hAnsi="Times New Roman"/>
          <w:sz w:val="32"/>
        </w:rPr>
        <w:t>一、现状分析</w:t>
      </w:r>
    </w:p>
    <w:p w:rsidR="00172CE9" w:rsidRDefault="00172CE9" w:rsidP="00172CE9">
      <w:pPr>
        <w:spacing w:line="540" w:lineRule="exact"/>
        <w:ind w:firstLine="743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分析本学院</w:t>
      </w:r>
      <w:r>
        <w:rPr>
          <w:rFonts w:ascii="Times New Roman" w:eastAsia="仿宋_GB2312" w:hAnsi="Times New Roman"/>
          <w:sz w:val="32"/>
        </w:rPr>
        <w:t>“</w:t>
      </w:r>
      <w:r>
        <w:rPr>
          <w:rFonts w:ascii="Times New Roman" w:eastAsia="仿宋_GB2312" w:hAnsi="Times New Roman"/>
          <w:sz w:val="32"/>
        </w:rPr>
        <w:t>十三五</w:t>
      </w:r>
      <w:r>
        <w:rPr>
          <w:rFonts w:ascii="Times New Roman" w:eastAsia="仿宋_GB2312" w:hAnsi="Times New Roman"/>
          <w:sz w:val="32"/>
        </w:rPr>
        <w:t>”</w:t>
      </w:r>
      <w:r>
        <w:rPr>
          <w:rFonts w:ascii="Times New Roman" w:eastAsia="仿宋_GB2312" w:hAnsi="Times New Roman"/>
          <w:sz w:val="32"/>
        </w:rPr>
        <w:t>以来</w:t>
      </w:r>
      <w:r w:rsidR="001C19B3">
        <w:rPr>
          <w:rFonts w:ascii="Times New Roman" w:eastAsia="仿宋_GB2312" w:hAnsi="Times New Roman" w:hint="eastAsia"/>
          <w:sz w:val="32"/>
        </w:rPr>
        <w:t>师资队伍建设</w:t>
      </w:r>
      <w:r>
        <w:rPr>
          <w:rFonts w:ascii="Times New Roman" w:eastAsia="仿宋_GB2312" w:hAnsi="Times New Roman"/>
          <w:sz w:val="32"/>
        </w:rPr>
        <w:t>取得的主要成绩与重点突破；分析本学院与国内外标杆学院相比</w:t>
      </w:r>
      <w:r w:rsidR="001C19B3">
        <w:rPr>
          <w:rFonts w:ascii="Times New Roman" w:eastAsia="仿宋_GB2312" w:hAnsi="Times New Roman" w:hint="eastAsia"/>
          <w:sz w:val="32"/>
        </w:rPr>
        <w:t>师资队伍</w:t>
      </w:r>
      <w:r>
        <w:rPr>
          <w:rFonts w:ascii="Times New Roman" w:eastAsia="仿宋_GB2312" w:hAnsi="Times New Roman"/>
          <w:sz w:val="32"/>
        </w:rPr>
        <w:t>存在的突出问题及原因分析。</w:t>
      </w:r>
    </w:p>
    <w:p w:rsidR="00172CE9" w:rsidRDefault="00172CE9" w:rsidP="00172CE9">
      <w:pPr>
        <w:spacing w:line="540" w:lineRule="exact"/>
        <w:ind w:firstLine="743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二、发展思路</w:t>
      </w:r>
    </w:p>
    <w:p w:rsidR="00172CE9" w:rsidRDefault="00172CE9" w:rsidP="00172CE9">
      <w:pPr>
        <w:spacing w:line="540" w:lineRule="exact"/>
        <w:ind w:firstLine="743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三、建设目标</w:t>
      </w:r>
    </w:p>
    <w:p w:rsidR="00172CE9" w:rsidRDefault="00172CE9" w:rsidP="00172CE9">
      <w:pPr>
        <w:spacing w:line="540" w:lineRule="exact"/>
        <w:ind w:firstLine="743"/>
        <w:rPr>
          <w:rFonts w:ascii="Times New Roman" w:eastAsia="楷体_GB2312" w:hAnsi="Times New Roman"/>
          <w:bCs/>
          <w:sz w:val="32"/>
        </w:rPr>
      </w:pPr>
      <w:r>
        <w:rPr>
          <w:rFonts w:ascii="Times New Roman" w:eastAsia="楷体_GB2312" w:hAnsi="Times New Roman"/>
          <w:bCs/>
          <w:sz w:val="32"/>
        </w:rPr>
        <w:t>（一）总体目标</w:t>
      </w:r>
    </w:p>
    <w:p w:rsidR="001C19B3" w:rsidRDefault="00172CE9" w:rsidP="00172CE9">
      <w:pPr>
        <w:spacing w:line="540" w:lineRule="exact"/>
        <w:ind w:firstLine="743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在国内外对比分析的基础上提出</w:t>
      </w:r>
      <w:r w:rsidR="001C19B3">
        <w:rPr>
          <w:rFonts w:ascii="Times New Roman" w:eastAsia="仿宋_GB2312" w:hAnsi="Times New Roman" w:hint="eastAsia"/>
          <w:sz w:val="32"/>
        </w:rPr>
        <w:t>师资队伍建设</w:t>
      </w:r>
      <w:r>
        <w:rPr>
          <w:rFonts w:ascii="Times New Roman" w:eastAsia="仿宋_GB2312" w:hAnsi="Times New Roman"/>
          <w:sz w:val="32"/>
        </w:rPr>
        <w:t>总体目标</w:t>
      </w:r>
    </w:p>
    <w:p w:rsidR="00172CE9" w:rsidRDefault="00172CE9" w:rsidP="00172CE9">
      <w:pPr>
        <w:spacing w:line="540" w:lineRule="exact"/>
        <w:ind w:firstLine="743"/>
        <w:rPr>
          <w:rFonts w:ascii="Times New Roman" w:eastAsia="楷体_GB2312" w:hAnsi="Times New Roman"/>
          <w:bCs/>
          <w:sz w:val="32"/>
        </w:rPr>
      </w:pPr>
      <w:r>
        <w:rPr>
          <w:rFonts w:ascii="Times New Roman" w:eastAsia="楷体_GB2312" w:hAnsi="Times New Roman"/>
          <w:bCs/>
          <w:sz w:val="32"/>
        </w:rPr>
        <w:t>（二）具体目标</w:t>
      </w:r>
    </w:p>
    <w:p w:rsidR="00172CE9" w:rsidRDefault="00172CE9" w:rsidP="00172CE9">
      <w:pPr>
        <w:spacing w:line="540" w:lineRule="exact"/>
        <w:ind w:firstLine="743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请结合学科性质、发展阶段、历史使命，合理设置量化目标任务，完成附表。</w:t>
      </w:r>
    </w:p>
    <w:p w:rsidR="00172CE9" w:rsidRDefault="00172CE9" w:rsidP="00172CE9">
      <w:pPr>
        <w:spacing w:line="540" w:lineRule="exact"/>
        <w:ind w:firstLine="743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四、发展重点及主要举措</w:t>
      </w:r>
    </w:p>
    <w:p w:rsidR="009946F2" w:rsidRDefault="00172CE9" w:rsidP="00172CE9">
      <w:pPr>
        <w:spacing w:line="540" w:lineRule="exact"/>
        <w:ind w:firstLine="743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根据现状与差距，结合建设目标与建设方向，制定学科梯队建设方案</w:t>
      </w:r>
      <w:r w:rsidR="00AE72D1">
        <w:rPr>
          <w:rFonts w:ascii="Times New Roman" w:eastAsia="仿宋_GB2312" w:hAnsi="Times New Roman" w:hint="eastAsia"/>
          <w:sz w:val="32"/>
        </w:rPr>
        <w:t>（引进方案、培养方案）</w:t>
      </w:r>
      <w:r>
        <w:rPr>
          <w:rFonts w:ascii="Times New Roman" w:eastAsia="仿宋_GB2312" w:hAnsi="Times New Roman"/>
          <w:sz w:val="32"/>
        </w:rPr>
        <w:t>，</w:t>
      </w:r>
      <w:r w:rsidR="00AE72D1">
        <w:rPr>
          <w:rFonts w:ascii="Times New Roman" w:eastAsia="仿宋_GB2312" w:hAnsi="Times New Roman"/>
          <w:sz w:val="32"/>
        </w:rPr>
        <w:lastRenderedPageBreak/>
        <w:t>以及计划采取的措施和工作思路等</w:t>
      </w:r>
      <w:r w:rsidR="00AE72D1">
        <w:rPr>
          <w:rFonts w:ascii="Times New Roman" w:eastAsia="仿宋_GB2312" w:hAnsi="Times New Roman" w:hint="eastAsia"/>
          <w:sz w:val="32"/>
        </w:rPr>
        <w:t>。</w:t>
      </w:r>
    </w:p>
    <w:p w:rsidR="00172CE9" w:rsidRDefault="00172CE9" w:rsidP="00172CE9">
      <w:pPr>
        <w:spacing w:line="540" w:lineRule="exact"/>
        <w:ind w:firstLine="743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五、需要学校提供的支持措施</w:t>
      </w:r>
    </w:p>
    <w:p w:rsidR="00172CE9" w:rsidRDefault="00172CE9" w:rsidP="00172CE9">
      <w:pPr>
        <w:spacing w:line="540" w:lineRule="exact"/>
        <w:ind w:firstLine="740"/>
        <w:rPr>
          <w:rFonts w:ascii="楷体" w:eastAsia="楷体" w:hAnsi="楷体" w:cs="楷体"/>
          <w:sz w:val="28"/>
          <w:szCs w:val="28"/>
        </w:rPr>
      </w:pPr>
      <w:r>
        <w:rPr>
          <w:rFonts w:ascii="Times New Roman" w:eastAsia="仿宋_GB2312" w:hAnsi="Times New Roman"/>
          <w:sz w:val="32"/>
        </w:rPr>
        <w:t>针对需完成的主要建设内容，提出希望学校给予的政策和支持等。</w:t>
      </w:r>
    </w:p>
    <w:p w:rsidR="009946F2" w:rsidRDefault="001C19B3" w:rsidP="00172CE9">
      <w:pPr>
        <w:spacing w:line="53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</w:t>
      </w:r>
    </w:p>
    <w:p w:rsidR="009946F2" w:rsidRDefault="009946F2" w:rsidP="00172CE9">
      <w:pPr>
        <w:spacing w:line="530" w:lineRule="exact"/>
        <w:rPr>
          <w:rFonts w:ascii="楷体" w:eastAsia="楷体" w:hAnsi="楷体" w:cs="楷体"/>
          <w:sz w:val="28"/>
          <w:szCs w:val="28"/>
        </w:rPr>
      </w:pPr>
    </w:p>
    <w:p w:rsidR="00172CE9" w:rsidRDefault="001C19B3" w:rsidP="00172CE9">
      <w:pPr>
        <w:spacing w:line="53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172CE9">
        <w:rPr>
          <w:rFonts w:ascii="楷体" w:eastAsia="楷体" w:hAnsi="楷体" w:cs="楷体" w:hint="eastAsia"/>
          <w:sz w:val="28"/>
          <w:szCs w:val="28"/>
        </w:rPr>
        <w:t>附表：</w:t>
      </w:r>
    </w:p>
    <w:p w:rsidR="009946F2" w:rsidRDefault="009946F2" w:rsidP="009946F2">
      <w:pPr>
        <w:spacing w:line="530" w:lineRule="exact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hint="eastAsia"/>
          <w:b/>
          <w:sz w:val="32"/>
        </w:rPr>
        <w:t>学校“十四五”师资队伍建设关键指标</w:t>
      </w:r>
    </w:p>
    <w:tbl>
      <w:tblPr>
        <w:tblpPr w:leftFromText="180" w:rightFromText="180" w:vertAnchor="page" w:horzAnchor="margin" w:tblpY="7435"/>
        <w:tblW w:w="13932" w:type="dxa"/>
        <w:tblCellMar>
          <w:left w:w="0" w:type="dxa"/>
          <w:right w:w="0" w:type="dxa"/>
        </w:tblCellMar>
        <w:tblLook w:val="04A0"/>
      </w:tblPr>
      <w:tblGrid>
        <w:gridCol w:w="589"/>
        <w:gridCol w:w="3420"/>
        <w:gridCol w:w="1418"/>
        <w:gridCol w:w="1276"/>
        <w:gridCol w:w="1417"/>
        <w:gridCol w:w="5812"/>
      </w:tblGrid>
      <w:tr w:rsidR="009946F2" w:rsidTr="00441289">
        <w:trPr>
          <w:trHeight w:val="515"/>
        </w:trPr>
        <w:tc>
          <w:tcPr>
            <w:tcW w:w="589" w:type="dxa"/>
            <w:tcBorders>
              <w:top w:val="single" w:sz="18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楷体_GB2312" w:eastAsia="楷体_GB2312" w:hAnsiTheme="minorEastAsia" w:cs="Arial"/>
                <w:b/>
                <w:kern w:val="0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/>
                <w:bCs/>
                <w:color w:val="646464"/>
                <w:spacing w:val="12"/>
                <w:kern w:val="24"/>
                <w:szCs w:val="21"/>
              </w:rPr>
              <w:t>序号</w:t>
            </w:r>
          </w:p>
        </w:tc>
        <w:tc>
          <w:tcPr>
            <w:tcW w:w="3420" w:type="dxa"/>
            <w:tcBorders>
              <w:top w:val="single" w:sz="18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楷体_GB2312" w:eastAsia="楷体_GB2312" w:hAnsiTheme="minorEastAsia" w:cs="Arial" w:hint="eastAsia"/>
                <w:b/>
                <w:bCs/>
                <w:color w:val="646464"/>
                <w:spacing w:val="12"/>
                <w:kern w:val="24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/>
                <w:bCs/>
                <w:color w:val="646464"/>
                <w:spacing w:val="12"/>
                <w:kern w:val="24"/>
                <w:szCs w:val="21"/>
              </w:rPr>
              <w:t>具体指标</w:t>
            </w:r>
          </w:p>
          <w:p w:rsidR="00441289" w:rsidRDefault="00441289" w:rsidP="009946F2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楷体_GB2312" w:eastAsia="楷体_GB2312" w:hAnsiTheme="minorEastAsia" w:cs="Arial"/>
                <w:b/>
                <w:kern w:val="0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/>
                <w:bCs/>
                <w:color w:val="646464"/>
                <w:spacing w:val="12"/>
                <w:kern w:val="24"/>
                <w:szCs w:val="21"/>
              </w:rPr>
              <w:t>(可根据学院情况作适当调整）</w:t>
            </w:r>
          </w:p>
        </w:tc>
        <w:tc>
          <w:tcPr>
            <w:tcW w:w="1418" w:type="dxa"/>
            <w:tcBorders>
              <w:top w:val="single" w:sz="18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楷体_GB2312" w:eastAsia="楷体_GB2312" w:hAnsiTheme="minorEastAsia" w:cs="Arial"/>
                <w:b/>
                <w:bCs/>
                <w:color w:val="646464"/>
                <w:spacing w:val="12"/>
                <w:kern w:val="24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/>
                <w:bCs/>
                <w:color w:val="646464"/>
                <w:spacing w:val="12"/>
                <w:kern w:val="24"/>
                <w:szCs w:val="21"/>
              </w:rPr>
              <w:t>现有情况</w:t>
            </w:r>
          </w:p>
        </w:tc>
        <w:tc>
          <w:tcPr>
            <w:tcW w:w="1276" w:type="dxa"/>
            <w:tcBorders>
              <w:top w:val="single" w:sz="18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楷体_GB2312" w:eastAsia="楷体_GB2312" w:hAnsiTheme="minorEastAsia" w:cs="Arial"/>
                <w:b/>
                <w:bCs/>
                <w:color w:val="646464"/>
                <w:spacing w:val="12"/>
                <w:kern w:val="24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/>
                <w:bCs/>
                <w:color w:val="646464"/>
                <w:spacing w:val="12"/>
                <w:kern w:val="24"/>
                <w:szCs w:val="21"/>
              </w:rPr>
              <w:t>5年规划</w:t>
            </w:r>
          </w:p>
        </w:tc>
        <w:tc>
          <w:tcPr>
            <w:tcW w:w="1417" w:type="dxa"/>
            <w:tcBorders>
              <w:top w:val="single" w:sz="18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楷体_GB2312" w:eastAsia="楷体_GB2312" w:hAnsiTheme="minorEastAsia" w:cs="Arial"/>
                <w:b/>
                <w:bCs/>
                <w:color w:val="646464"/>
                <w:spacing w:val="12"/>
                <w:kern w:val="24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/>
                <w:bCs/>
                <w:color w:val="646464"/>
                <w:spacing w:val="12"/>
                <w:kern w:val="24"/>
                <w:szCs w:val="21"/>
              </w:rPr>
              <w:t>年度目标</w:t>
            </w:r>
          </w:p>
        </w:tc>
        <w:tc>
          <w:tcPr>
            <w:tcW w:w="5812" w:type="dxa"/>
            <w:tcBorders>
              <w:top w:val="single" w:sz="18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楷体_GB2312" w:eastAsia="楷体_GB2312" w:hAnsiTheme="minorEastAsia" w:cs="Arial"/>
                <w:b/>
                <w:kern w:val="0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/>
                <w:bCs/>
                <w:color w:val="646464"/>
                <w:spacing w:val="12"/>
                <w:kern w:val="24"/>
                <w:szCs w:val="21"/>
              </w:rPr>
              <w:t>指标解释</w:t>
            </w:r>
          </w:p>
        </w:tc>
      </w:tr>
      <w:tr w:rsidR="009946F2" w:rsidTr="00441289">
        <w:trPr>
          <w:trHeight w:val="919"/>
        </w:trPr>
        <w:tc>
          <w:tcPr>
            <w:tcW w:w="589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楷体_GB2312" w:eastAsia="楷体_GB2312" w:hAnsiTheme="minorEastAsia" w:cs="Arial"/>
                <w:kern w:val="0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Cs/>
                <w:color w:val="646464"/>
                <w:spacing w:val="12"/>
                <w:kern w:val="24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404040"/>
                <w:spacing w:val="12"/>
                <w:kern w:val="24"/>
                <w:szCs w:val="21"/>
              </w:rPr>
              <w:t>引进、培养“两院”院士、万人计划杰出人才等资深学术权威</w:t>
            </w:r>
          </w:p>
        </w:tc>
        <w:tc>
          <w:tcPr>
            <w:tcW w:w="1418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5812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color w:val="404040"/>
                <w:spacing w:val="12"/>
                <w:kern w:val="24"/>
                <w:szCs w:val="21"/>
              </w:rPr>
              <w:t>指全职人员</w:t>
            </w:r>
          </w:p>
        </w:tc>
      </w:tr>
      <w:tr w:rsidR="009946F2" w:rsidTr="00441289">
        <w:trPr>
          <w:trHeight w:val="674"/>
        </w:trPr>
        <w:tc>
          <w:tcPr>
            <w:tcW w:w="589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楷体_GB2312" w:eastAsia="楷体_GB2312" w:hAnsiTheme="minorEastAsia" w:cs="Arial"/>
                <w:kern w:val="0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Cs/>
                <w:color w:val="646464"/>
                <w:spacing w:val="12"/>
                <w:kern w:val="24"/>
                <w:szCs w:val="21"/>
              </w:rPr>
              <w:t>2</w:t>
            </w:r>
          </w:p>
        </w:tc>
        <w:tc>
          <w:tcPr>
            <w:tcW w:w="3420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404040"/>
                <w:spacing w:val="12"/>
                <w:kern w:val="24"/>
                <w:szCs w:val="21"/>
              </w:rPr>
              <w:t>引进、培养长江学者特聘教授、杰出青年基金获得者、万人计划科技创新领军人才、国家百千万人才工程人选、全国杰出专业技术人才、国家级教学名师等国家级领军人才</w:t>
            </w:r>
          </w:p>
        </w:tc>
        <w:tc>
          <w:tcPr>
            <w:tcW w:w="1418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5812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color w:val="404040"/>
                <w:spacing w:val="12"/>
                <w:kern w:val="24"/>
                <w:szCs w:val="21"/>
              </w:rPr>
              <w:t>按在职在岗计算（非全职人员在聘期或人才称号期内的纳入计算，下同），国家级突贡已与百千万二合一，在计算学院指标时建议不重复计算；长江学者讲座教授纳入指标计算；</w:t>
            </w:r>
          </w:p>
        </w:tc>
      </w:tr>
      <w:tr w:rsidR="009946F2" w:rsidTr="00441289">
        <w:trPr>
          <w:trHeight w:val="491"/>
        </w:trPr>
        <w:tc>
          <w:tcPr>
            <w:tcW w:w="589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楷体_GB2312" w:eastAsia="楷体_GB2312" w:hAnsiTheme="minorEastAsia" w:cs="Arial"/>
                <w:kern w:val="0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Cs/>
                <w:color w:val="646464"/>
                <w:spacing w:val="12"/>
                <w:kern w:val="24"/>
                <w:szCs w:val="21"/>
              </w:rPr>
              <w:t>3</w:t>
            </w:r>
          </w:p>
        </w:tc>
        <w:tc>
          <w:tcPr>
            <w:tcW w:w="3420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404040"/>
                <w:spacing w:val="12"/>
                <w:kern w:val="24"/>
                <w:szCs w:val="21"/>
              </w:rPr>
              <w:t>引进、培养青年千人、国家优青、青年拔尖、青年长江等国家级青年拔尖英才，或卫生部中青年突贡专家、全国优秀教师等</w:t>
            </w:r>
          </w:p>
        </w:tc>
        <w:tc>
          <w:tcPr>
            <w:tcW w:w="1418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5812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color w:val="404040"/>
                <w:spacing w:val="12"/>
                <w:kern w:val="24"/>
                <w:szCs w:val="21"/>
              </w:rPr>
              <w:t>按在职在岗计算</w:t>
            </w:r>
          </w:p>
        </w:tc>
      </w:tr>
      <w:tr w:rsidR="009946F2" w:rsidTr="00441289">
        <w:trPr>
          <w:trHeight w:val="1464"/>
        </w:trPr>
        <w:tc>
          <w:tcPr>
            <w:tcW w:w="589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楷体_GB2312" w:eastAsia="楷体_GB2312" w:hAnsiTheme="minorEastAsia" w:cs="Arial"/>
                <w:kern w:val="0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Cs/>
                <w:color w:val="646464"/>
                <w:spacing w:val="12"/>
                <w:kern w:val="24"/>
                <w:szCs w:val="21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404040"/>
                <w:spacing w:val="12"/>
                <w:kern w:val="24"/>
                <w:szCs w:val="21"/>
              </w:rPr>
              <w:t>引进、培养重庆英才等省部级人才</w:t>
            </w:r>
          </w:p>
        </w:tc>
        <w:tc>
          <w:tcPr>
            <w:tcW w:w="1418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微软雅黑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微软雅黑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微软雅黑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5812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404040"/>
                <w:spacing w:val="12"/>
                <w:kern w:val="24"/>
                <w:szCs w:val="21"/>
              </w:rPr>
              <w:t>按在职在岗计算，主要指重庆英才、重庆市学术带头人、省部级突贡、重庆市首席专家工作室领衔专家、重庆市市杰青、百人计划、巴渝学者、重庆市名师、优秀教师、教书育人楷模等现仍在开展的项目；</w:t>
            </w:r>
            <w:r>
              <w:rPr>
                <w:rFonts w:ascii="仿宋" w:eastAsia="仿宋" w:hAnsi="仿宋" w:cs="微软雅黑" w:hint="eastAsia"/>
                <w:bCs/>
                <w:color w:val="404040"/>
                <w:spacing w:val="12"/>
                <w:kern w:val="24"/>
                <w:szCs w:val="21"/>
              </w:rPr>
              <w:br/>
              <w:t>教育部新世纪人才支持计划、跨世纪优秀人才、重庆市特支计划、重庆市首席医学专家及领军人才等可计入存量</w:t>
            </w:r>
          </w:p>
        </w:tc>
      </w:tr>
      <w:tr w:rsidR="009946F2" w:rsidTr="00441289">
        <w:trPr>
          <w:trHeight w:val="482"/>
        </w:trPr>
        <w:tc>
          <w:tcPr>
            <w:tcW w:w="589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楷体_GB2312" w:eastAsia="楷体_GB2312" w:hAnsiTheme="minorEastAsia" w:cs="Arial"/>
                <w:kern w:val="0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Cs/>
                <w:color w:val="646464"/>
                <w:spacing w:val="12"/>
                <w:kern w:val="24"/>
                <w:szCs w:val="21"/>
              </w:rPr>
              <w:t>5</w:t>
            </w:r>
          </w:p>
        </w:tc>
        <w:tc>
          <w:tcPr>
            <w:tcW w:w="3420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404040"/>
                <w:spacing w:val="12"/>
                <w:kern w:val="24"/>
                <w:szCs w:val="21"/>
              </w:rPr>
              <w:t>构建层次分明、衔接有序的人才培养体系：新增校内特聘教授、特聘副教授各层次人选</w:t>
            </w:r>
          </w:p>
        </w:tc>
        <w:tc>
          <w:tcPr>
            <w:tcW w:w="1418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5812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color w:val="404040"/>
                <w:spacing w:val="12"/>
                <w:kern w:val="24"/>
                <w:szCs w:val="21"/>
              </w:rPr>
              <w:t xml:space="preserve">　</w:t>
            </w:r>
          </w:p>
        </w:tc>
      </w:tr>
      <w:tr w:rsidR="009946F2" w:rsidTr="00441289">
        <w:trPr>
          <w:trHeight w:val="619"/>
        </w:trPr>
        <w:tc>
          <w:tcPr>
            <w:tcW w:w="589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楷体_GB2312" w:eastAsia="楷体_GB2312" w:hAnsiTheme="minorEastAsia" w:cs="Arial"/>
                <w:kern w:val="0"/>
                <w:szCs w:val="21"/>
              </w:rPr>
            </w:pPr>
            <w:r>
              <w:rPr>
                <w:rFonts w:ascii="楷体_GB2312" w:eastAsia="楷体_GB2312" w:hAnsiTheme="minorEastAsia" w:cs="Arial" w:hint="eastAsia"/>
                <w:bCs/>
                <w:color w:val="646464"/>
                <w:spacing w:val="12"/>
                <w:kern w:val="24"/>
                <w:szCs w:val="21"/>
              </w:rPr>
              <w:t>6</w:t>
            </w:r>
          </w:p>
        </w:tc>
        <w:tc>
          <w:tcPr>
            <w:tcW w:w="3420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404040"/>
                <w:spacing w:val="12"/>
                <w:kern w:val="24"/>
                <w:szCs w:val="21"/>
              </w:rPr>
              <w:t>引进、培养青年创新人才</w:t>
            </w:r>
          </w:p>
        </w:tc>
        <w:tc>
          <w:tcPr>
            <w:tcW w:w="1418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bCs/>
                <w:color w:val="404040"/>
                <w:spacing w:val="12"/>
                <w:kern w:val="24"/>
                <w:szCs w:val="21"/>
              </w:rPr>
            </w:pPr>
          </w:p>
        </w:tc>
        <w:tc>
          <w:tcPr>
            <w:tcW w:w="5812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color w:val="404040"/>
                <w:spacing w:val="12"/>
                <w:kern w:val="24"/>
                <w:szCs w:val="21"/>
              </w:rPr>
              <w:t>按在职在岗计算，主要指重庆市高校中青年骨干教师资助计划、高校优秀人才支持计划、留创计划、重庆市中青年骨干教师、重庆市学术技术带头人后备人选、优秀博士等</w:t>
            </w:r>
          </w:p>
        </w:tc>
      </w:tr>
      <w:tr w:rsidR="009946F2" w:rsidTr="00441289">
        <w:trPr>
          <w:trHeight w:val="234"/>
        </w:trPr>
        <w:tc>
          <w:tcPr>
            <w:tcW w:w="589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楷体_GB2312" w:eastAsia="楷体_GB2312" w:hAnsiTheme="minorEastAsia"/>
                <w:szCs w:val="21"/>
              </w:rPr>
            </w:pPr>
            <w:r>
              <w:rPr>
                <w:rFonts w:ascii="楷体_GB2312" w:eastAsia="楷体_GB2312" w:hAnsiTheme="minorEastAsia" w:hint="eastAsia"/>
                <w:bCs/>
                <w:szCs w:val="21"/>
              </w:rPr>
              <w:t>7</w:t>
            </w:r>
          </w:p>
        </w:tc>
        <w:tc>
          <w:tcPr>
            <w:tcW w:w="3420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专任教师保持适度规模，生师比控制在15:1</w:t>
            </w:r>
          </w:p>
        </w:tc>
        <w:tc>
          <w:tcPr>
            <w:tcW w:w="1418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812" w:type="dxa"/>
            <w:tcBorders>
              <w:top w:val="single" w:sz="18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　——</w:t>
            </w:r>
          </w:p>
        </w:tc>
      </w:tr>
      <w:tr w:rsidR="009946F2" w:rsidTr="00441289">
        <w:trPr>
          <w:trHeight w:val="240"/>
        </w:trPr>
        <w:tc>
          <w:tcPr>
            <w:tcW w:w="589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楷体_GB2312" w:eastAsia="楷体_GB2312" w:hAnsiTheme="minorEastAsia"/>
                <w:szCs w:val="21"/>
              </w:rPr>
            </w:pPr>
            <w:r>
              <w:rPr>
                <w:rFonts w:ascii="楷体_GB2312" w:eastAsia="楷体_GB2312" w:hAnsiTheme="minorEastAsia" w:hint="eastAsia"/>
                <w:bCs/>
                <w:szCs w:val="21"/>
              </w:rPr>
              <w:t>8</w:t>
            </w:r>
          </w:p>
        </w:tc>
        <w:tc>
          <w:tcPr>
            <w:tcW w:w="3420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专任教师中博士学位占比、高级职称占比均达到70%</w:t>
            </w:r>
          </w:p>
        </w:tc>
        <w:tc>
          <w:tcPr>
            <w:tcW w:w="1418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812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按在职在岗计算</w:t>
            </w:r>
          </w:p>
        </w:tc>
      </w:tr>
      <w:tr w:rsidR="009946F2" w:rsidTr="00441289">
        <w:trPr>
          <w:trHeight w:val="244"/>
        </w:trPr>
        <w:tc>
          <w:tcPr>
            <w:tcW w:w="589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楷体_GB2312" w:eastAsia="楷体_GB2312" w:hAnsiTheme="minorEastAsia"/>
                <w:szCs w:val="21"/>
              </w:rPr>
            </w:pPr>
            <w:r>
              <w:rPr>
                <w:rFonts w:ascii="楷体_GB2312" w:eastAsia="楷体_GB2312" w:hAnsiTheme="minorEastAsia" w:hint="eastAsia"/>
                <w:bCs/>
                <w:szCs w:val="21"/>
              </w:rPr>
              <w:t>9</w:t>
            </w:r>
          </w:p>
        </w:tc>
        <w:tc>
          <w:tcPr>
            <w:tcW w:w="3420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专任教师中具有出国留学师资比例达到35%</w:t>
            </w:r>
          </w:p>
        </w:tc>
        <w:tc>
          <w:tcPr>
            <w:tcW w:w="1418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812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按在职在岗计算，指单次在1个月以上</w:t>
            </w:r>
          </w:p>
        </w:tc>
      </w:tr>
      <w:tr w:rsidR="009946F2" w:rsidTr="00441289">
        <w:trPr>
          <w:trHeight w:val="262"/>
        </w:trPr>
        <w:tc>
          <w:tcPr>
            <w:tcW w:w="589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楷体_GB2312" w:eastAsia="楷体_GB2312" w:hAnsiTheme="minorEastAsia"/>
                <w:szCs w:val="21"/>
              </w:rPr>
            </w:pPr>
            <w:r>
              <w:rPr>
                <w:rFonts w:ascii="楷体_GB2312" w:eastAsia="楷体_GB2312" w:hAnsiTheme="minorEastAsia" w:hint="eastAsia"/>
                <w:bCs/>
                <w:szCs w:val="21"/>
              </w:rPr>
              <w:t>10</w:t>
            </w:r>
          </w:p>
        </w:tc>
        <w:tc>
          <w:tcPr>
            <w:tcW w:w="3420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专任教师中具有博士后研究工作经历的占比达到10%</w:t>
            </w:r>
          </w:p>
        </w:tc>
        <w:tc>
          <w:tcPr>
            <w:tcW w:w="1418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812" w:type="dxa"/>
            <w:tcBorders>
              <w:top w:val="dashSmallGap" w:sz="6" w:space="0" w:color="646464"/>
              <w:left w:val="dashSmallGap" w:sz="6" w:space="0" w:color="646464"/>
              <w:bottom w:val="dashSmallGap" w:sz="6" w:space="0" w:color="646464"/>
              <w:right w:val="dashSmallGap" w:sz="6" w:space="0" w:color="646464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按在职在岗计算</w:t>
            </w:r>
          </w:p>
        </w:tc>
      </w:tr>
      <w:tr w:rsidR="009946F2" w:rsidTr="00441289">
        <w:trPr>
          <w:trHeight w:val="577"/>
        </w:trPr>
        <w:tc>
          <w:tcPr>
            <w:tcW w:w="589" w:type="dxa"/>
            <w:tcBorders>
              <w:top w:val="dashSmallGap" w:sz="6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楷体_GB2312" w:eastAsia="楷体_GB2312" w:hAnsiTheme="minorEastAsia"/>
                <w:szCs w:val="21"/>
              </w:rPr>
            </w:pPr>
            <w:r>
              <w:rPr>
                <w:rFonts w:ascii="楷体_GB2312" w:eastAsia="楷体_GB2312" w:hAnsiTheme="minorEastAsia" w:hint="eastAsia"/>
                <w:bCs/>
                <w:szCs w:val="21"/>
              </w:rPr>
              <w:t>11</w:t>
            </w:r>
          </w:p>
        </w:tc>
        <w:tc>
          <w:tcPr>
            <w:tcW w:w="3420" w:type="dxa"/>
            <w:tcBorders>
              <w:top w:val="dashSmallGap" w:sz="6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加大博士后招收、资助力度，把博士后作为科研的生力军和师资的蓄水池，每年招收博士后80名以上，博士后在站人数保持在200名以上</w:t>
            </w:r>
          </w:p>
        </w:tc>
        <w:tc>
          <w:tcPr>
            <w:tcW w:w="1418" w:type="dxa"/>
            <w:tcBorders>
              <w:top w:val="dashSmallGap" w:sz="6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812" w:type="dxa"/>
            <w:tcBorders>
              <w:top w:val="dashSmallGap" w:sz="6" w:space="0" w:color="646464"/>
              <w:left w:val="dashSmallGap" w:sz="6" w:space="0" w:color="646464"/>
              <w:bottom w:val="single" w:sz="18" w:space="0" w:color="646464"/>
              <w:right w:val="dashSmallGap" w:sz="6" w:space="0" w:color="646464"/>
            </w:tcBorders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9946F2" w:rsidRDefault="009946F2" w:rsidP="009946F2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各种类型博士后均纳入计算</w:t>
            </w:r>
          </w:p>
        </w:tc>
      </w:tr>
    </w:tbl>
    <w:p w:rsidR="00577A5B" w:rsidRDefault="00577A5B">
      <w:pPr>
        <w:rPr>
          <w:b/>
          <w:sz w:val="32"/>
        </w:rPr>
      </w:pPr>
    </w:p>
    <w:p w:rsidR="00577A5B" w:rsidRDefault="00577A5B">
      <w:pPr>
        <w:rPr>
          <w:b/>
          <w:sz w:val="32"/>
        </w:rPr>
      </w:pPr>
      <w:bookmarkStart w:id="0" w:name="_GoBack"/>
      <w:bookmarkEnd w:id="0"/>
    </w:p>
    <w:sectPr w:rsidR="00577A5B" w:rsidSect="00577A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48" w:rsidRDefault="00A50348" w:rsidP="00172CE9">
      <w:r>
        <w:separator/>
      </w:r>
    </w:p>
  </w:endnote>
  <w:endnote w:type="continuationSeparator" w:id="0">
    <w:p w:rsidR="00A50348" w:rsidRDefault="00A50348" w:rsidP="0017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48" w:rsidRDefault="00A50348" w:rsidP="00172CE9">
      <w:r>
        <w:separator/>
      </w:r>
    </w:p>
  </w:footnote>
  <w:footnote w:type="continuationSeparator" w:id="0">
    <w:p w:rsidR="00A50348" w:rsidRDefault="00A50348" w:rsidP="00172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D2B8E"/>
    <w:rsid w:val="000319CF"/>
    <w:rsid w:val="000D2B8E"/>
    <w:rsid w:val="00172CE9"/>
    <w:rsid w:val="001C19B3"/>
    <w:rsid w:val="00226D7A"/>
    <w:rsid w:val="00393BA6"/>
    <w:rsid w:val="00407C63"/>
    <w:rsid w:val="00441289"/>
    <w:rsid w:val="00577A5B"/>
    <w:rsid w:val="005B6BF4"/>
    <w:rsid w:val="0062599B"/>
    <w:rsid w:val="00881C8C"/>
    <w:rsid w:val="009946F2"/>
    <w:rsid w:val="009A6C7A"/>
    <w:rsid w:val="009F597B"/>
    <w:rsid w:val="00A50348"/>
    <w:rsid w:val="00AB3C7E"/>
    <w:rsid w:val="00AD5E05"/>
    <w:rsid w:val="00AE72D1"/>
    <w:rsid w:val="00CE106E"/>
    <w:rsid w:val="00D5217B"/>
    <w:rsid w:val="00DB35D4"/>
    <w:rsid w:val="00EA7B74"/>
    <w:rsid w:val="00EE633C"/>
    <w:rsid w:val="00F4045D"/>
    <w:rsid w:val="552A41B9"/>
    <w:rsid w:val="7B7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7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77A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577A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77A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7A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178</Words>
  <Characters>1016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2020-07-21T03:01:00Z</cp:lastPrinted>
  <dcterms:created xsi:type="dcterms:W3CDTF">2020-07-16T08:46:00Z</dcterms:created>
  <dcterms:modified xsi:type="dcterms:W3CDTF">2020-07-21T03:01:00Z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