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22"/>
          <w:szCs w:val="24"/>
        </w:rPr>
      </w:pPr>
      <w:r>
        <w:rPr>
          <w:rFonts w:hint="eastAsia" w:ascii="宋体" w:hAnsi="宋体"/>
          <w:b/>
          <w:sz w:val="22"/>
          <w:szCs w:val="24"/>
        </w:rPr>
        <w:t>附件</w:t>
      </w:r>
      <w:r>
        <w:rPr>
          <w:rFonts w:ascii="宋体" w:hAnsi="宋体"/>
          <w:b/>
          <w:sz w:val="22"/>
          <w:szCs w:val="24"/>
        </w:rPr>
        <w:t>2</w:t>
      </w:r>
      <w:r>
        <w:rPr>
          <w:rFonts w:hint="eastAsia" w:ascii="宋体" w:hAnsi="宋体"/>
          <w:b/>
          <w:sz w:val="22"/>
          <w:szCs w:val="24"/>
        </w:rPr>
        <w:t>：</w:t>
      </w:r>
    </w:p>
    <w:p>
      <w:pPr>
        <w:jc w:val="center"/>
        <w:rPr>
          <w:b/>
          <w:color w:val="FF0000"/>
          <w:sz w:val="36"/>
          <w:szCs w:val="36"/>
        </w:rPr>
      </w:pPr>
      <w:r>
        <w:rPr>
          <w:rFonts w:hint="eastAsia"/>
          <w:b/>
          <w:sz w:val="36"/>
          <w:szCs w:val="36"/>
        </w:rPr>
        <w:t>重庆医科大学202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年竞聘专业技术二级岗评审表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院系负责人签字（公章）：</w:t>
      </w:r>
      <w:r>
        <w:rPr>
          <w:rFonts w:hint="eastAsia"/>
          <w:b/>
          <w:sz w:val="24"/>
          <w:szCs w:val="2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/>
          <w:b/>
          <w:sz w:val="24"/>
          <w:szCs w:val="24"/>
        </w:rPr>
        <w:t>填表时间：</w:t>
      </w:r>
    </w:p>
    <w:p>
      <w:pPr>
        <w:rPr>
          <w:b/>
          <w:sz w:val="22"/>
        </w:rPr>
        <w:sectPr>
          <w:pgSz w:w="16838" w:h="11906" w:orient="landscape"/>
          <w:pgMar w:top="964" w:right="1134" w:bottom="964" w:left="1134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575"/>
        <w:gridCol w:w="1648"/>
        <w:gridCol w:w="1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629" w:type="dxa"/>
            <w:gridSpan w:val="4"/>
          </w:tcPr>
          <w:p>
            <w:pPr>
              <w:jc w:val="left"/>
              <w:rPr>
                <w:rFonts w:ascii="黑体" w:hAnsi="黑体" w:eastAsia="黑体"/>
                <w:b/>
                <w:sz w:val="21"/>
              </w:rPr>
            </w:pPr>
            <w:r>
              <w:rPr>
                <w:rFonts w:hint="eastAsia" w:ascii="黑体" w:hAnsi="黑体" w:eastAsia="黑体"/>
                <w:b/>
                <w:sz w:val="21"/>
              </w:rPr>
              <w:t>一、申请人基本情况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sz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现聘专业技术职务及聘任时间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b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现聘岗位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sz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现任岗位</w:t>
            </w:r>
          </w:p>
          <w:p>
            <w:pPr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聘任时间</w:t>
            </w:r>
          </w:p>
        </w:tc>
        <w:tc>
          <w:tcPr>
            <w:tcW w:w="1729" w:type="dxa"/>
            <w:vAlign w:val="center"/>
          </w:tcPr>
          <w:p>
            <w:pPr>
              <w:rPr>
                <w:b/>
                <w:color w:val="FF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629" w:type="dxa"/>
            <w:gridSpan w:val="4"/>
          </w:tcPr>
          <w:p>
            <w:pPr>
              <w:jc w:val="left"/>
              <w:rPr>
                <w:rFonts w:ascii="黑体" w:hAnsi="黑体" w:eastAsia="黑体"/>
                <w:b/>
                <w:sz w:val="21"/>
              </w:rPr>
            </w:pPr>
            <w:r>
              <w:rPr>
                <w:rFonts w:hint="eastAsia" w:ascii="黑体" w:hAnsi="黑体" w:eastAsia="黑体"/>
                <w:b/>
                <w:sz w:val="21"/>
              </w:rPr>
              <w:t>二、所获代表性奖项、项目成果、论著、著作教材等（总共8项以内）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6629" w:type="dxa"/>
            <w:gridSpan w:val="4"/>
          </w:tcPr>
          <w:p>
            <w:pPr>
              <w:spacing w:line="360" w:lineRule="auto"/>
              <w:ind w:firstLine="424" w:firstLineChars="201"/>
              <w:rPr>
                <w:rFonts w:ascii="宋体" w:hAnsi="宋体"/>
                <w:color w:val="FF0000"/>
                <w:sz w:val="21"/>
              </w:rPr>
            </w:pPr>
            <w:r>
              <w:rPr>
                <w:rFonts w:hint="eastAsia" w:ascii="宋体" w:hAnsi="宋体"/>
                <w:b/>
                <w:color w:val="FF0000"/>
                <w:sz w:val="21"/>
              </w:rPr>
              <w:t>1、</w:t>
            </w:r>
            <w:r>
              <w:rPr>
                <w:rFonts w:hint="eastAsia" w:ascii="宋体" w:hAnsi="宋体"/>
                <w:color w:val="FF0000"/>
                <w:sz w:val="21"/>
              </w:rPr>
              <w:t>Behcet病、Vogt-小柳原田综合征的临床和基础研究，重庆市科技进步一等奖，排名第二，2009.9；</w:t>
            </w:r>
            <w:r>
              <w:rPr>
                <w:rFonts w:ascii="宋体" w:hAnsi="宋体"/>
                <w:color w:val="FF0000"/>
                <w:sz w:val="21"/>
              </w:rPr>
              <w:t xml:space="preserve"> </w:t>
            </w:r>
          </w:p>
          <w:p>
            <w:pPr>
              <w:spacing w:line="360" w:lineRule="auto"/>
              <w:ind w:firstLine="424" w:firstLineChars="201"/>
              <w:rPr>
                <w:rFonts w:ascii="宋体" w:hAnsi="宋体"/>
                <w:color w:val="FF0000"/>
                <w:sz w:val="21"/>
              </w:rPr>
            </w:pPr>
            <w:r>
              <w:rPr>
                <w:rFonts w:hint="eastAsia" w:ascii="宋体" w:hAnsi="宋体"/>
                <w:b/>
                <w:color w:val="FF0000"/>
                <w:sz w:val="21"/>
              </w:rPr>
              <w:t>2、</w:t>
            </w:r>
            <w:r>
              <w:rPr>
                <w:rFonts w:ascii="宋体" w:hAnsi="宋体"/>
                <w:color w:val="FF0000"/>
                <w:sz w:val="21"/>
              </w:rPr>
              <w:t>国家自然科学基金面上项目</w:t>
            </w:r>
            <w:r>
              <w:rPr>
                <w:rFonts w:hint="eastAsia" w:ascii="宋体" w:hAnsi="宋体"/>
                <w:color w:val="FF0000"/>
                <w:sz w:val="21"/>
              </w:rPr>
              <w:t>，</w:t>
            </w:r>
            <w:r>
              <w:rPr>
                <w:rFonts w:ascii="宋体" w:hAnsi="宋体"/>
                <w:color w:val="FF0000"/>
                <w:sz w:val="21"/>
              </w:rPr>
              <w:t xml:space="preserve"> BMP9/PI3K/AKT信号途径调控间充质干细胞成骨分化 （ No： 81272006）</w:t>
            </w:r>
            <w:r>
              <w:rPr>
                <w:rFonts w:hint="eastAsia" w:ascii="宋体" w:hAnsi="宋体"/>
                <w:color w:val="FF0000"/>
                <w:sz w:val="21"/>
              </w:rPr>
              <w:t>，项目负责人，68万，2006.7；</w:t>
            </w:r>
            <w:r>
              <w:rPr>
                <w:rFonts w:ascii="宋体" w:hAnsi="宋体"/>
                <w:color w:val="FF0000"/>
                <w:sz w:val="21"/>
              </w:rPr>
              <w:t xml:space="preserve"> </w:t>
            </w:r>
          </w:p>
          <w:p>
            <w:pPr>
              <w:spacing w:line="360" w:lineRule="auto"/>
              <w:ind w:firstLine="424" w:firstLineChars="201"/>
              <w:rPr>
                <w:rFonts w:ascii="宋体" w:hAnsi="宋体"/>
                <w:color w:val="FF0000"/>
                <w:sz w:val="21"/>
              </w:rPr>
            </w:pPr>
            <w:r>
              <w:rPr>
                <w:rFonts w:hint="eastAsia" w:ascii="宋体" w:hAnsi="宋体"/>
                <w:b/>
                <w:color w:val="FF0000"/>
                <w:sz w:val="21"/>
              </w:rPr>
              <w:t>3、</w:t>
            </w:r>
            <w:r>
              <w:rPr>
                <w:rFonts w:hint="eastAsia" w:ascii="宋体" w:hAnsi="宋体"/>
                <w:color w:val="FF0000"/>
                <w:sz w:val="21"/>
              </w:rPr>
              <w:t>Estrogen restores... ，通讯作者, Journal of Cerebral Blood Flow &amp; Metabolism, 2005,(34)6:656-658, SCI IF3.34,2区；</w:t>
            </w:r>
            <w:r>
              <w:rPr>
                <w:rFonts w:ascii="宋体" w:hAnsi="宋体"/>
                <w:color w:val="FF0000"/>
                <w:sz w:val="21"/>
              </w:rPr>
              <w:t xml:space="preserve"> </w:t>
            </w:r>
          </w:p>
          <w:p>
            <w:pPr>
              <w:spacing w:line="360" w:lineRule="auto"/>
              <w:ind w:firstLine="422" w:firstLineChars="201"/>
              <w:rPr>
                <w:rFonts w:ascii="宋体" w:hAnsi="宋体"/>
                <w:color w:val="FF0000"/>
                <w:sz w:val="21"/>
              </w:rPr>
            </w:pPr>
            <w:r>
              <w:rPr>
                <w:rFonts w:hint="eastAsia" w:ascii="黑体" w:hAnsi="黑体" w:eastAsia="黑体"/>
                <w:color w:val="FF0000"/>
                <w:sz w:val="21"/>
              </w:rPr>
              <w:t>4、内科学概论，人民卫生出版社，独著，2010.5</w:t>
            </w:r>
            <w:r>
              <w:rPr>
                <w:rFonts w:hint="eastAsia" w:ascii="宋体" w:hAnsi="宋体"/>
                <w:color w:val="FF0000"/>
                <w:sz w:val="21"/>
              </w:rPr>
              <w:t>。</w:t>
            </w:r>
          </w:p>
          <w:p>
            <w:pPr>
              <w:spacing w:line="360" w:lineRule="auto"/>
              <w:ind w:firstLine="422" w:firstLineChars="201"/>
              <w:rPr>
                <w:rFonts w:ascii="宋体" w:hAnsi="宋体"/>
                <w:color w:val="FF0000"/>
                <w:sz w:val="21"/>
              </w:rPr>
            </w:pPr>
          </w:p>
          <w:p>
            <w:pPr>
              <w:spacing w:line="360" w:lineRule="auto"/>
              <w:ind w:firstLine="422" w:firstLineChars="201"/>
              <w:rPr>
                <w:rFonts w:ascii="宋体" w:hAnsi="宋体"/>
                <w:color w:val="FF0000"/>
                <w:sz w:val="21"/>
              </w:rPr>
            </w:pPr>
          </w:p>
          <w:p>
            <w:pPr>
              <w:spacing w:line="360" w:lineRule="auto"/>
              <w:ind w:firstLine="422" w:firstLineChars="201"/>
              <w:rPr>
                <w:rFonts w:ascii="宋体" w:hAnsi="宋体"/>
                <w:color w:val="FF0000"/>
                <w:sz w:val="21"/>
              </w:rPr>
            </w:pPr>
          </w:p>
          <w:p>
            <w:pPr>
              <w:spacing w:line="360" w:lineRule="auto"/>
              <w:ind w:firstLine="422" w:firstLineChars="201"/>
              <w:rPr>
                <w:rFonts w:ascii="宋体" w:hAnsi="宋体"/>
                <w:color w:val="FF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3" w:hRule="atLeast"/>
        </w:trPr>
        <w:tc>
          <w:tcPr>
            <w:tcW w:w="6629" w:type="dxa"/>
            <w:gridSpan w:val="4"/>
          </w:tcPr>
          <w:p>
            <w:pPr>
              <w:spacing w:line="360" w:lineRule="auto"/>
              <w:ind w:firstLine="422" w:firstLineChars="201"/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黑体" w:hAnsi="黑体" w:eastAsia="黑体"/>
                <w:color w:val="FF0000"/>
                <w:sz w:val="21"/>
              </w:rPr>
              <w:t>5</w:t>
            </w:r>
            <w:r>
              <w:rPr>
                <w:rFonts w:hint="eastAsia" w:ascii="黑体" w:hAnsi="黑体" w:eastAsia="黑体"/>
                <w:color w:val="FF0000"/>
                <w:sz w:val="21"/>
              </w:rPr>
              <w:t>、内科学概论，人民卫生出版社，独著，2010.5</w:t>
            </w:r>
            <w:r>
              <w:rPr>
                <w:rFonts w:hint="eastAsia" w:ascii="宋体" w:hAnsi="宋体"/>
                <w:color w:val="FF0000"/>
                <w:sz w:val="21"/>
              </w:rPr>
              <w:t>。</w:t>
            </w:r>
          </w:p>
          <w:p>
            <w:pPr>
              <w:jc w:val="left"/>
              <w:rPr>
                <w:rFonts w:ascii="宋体" w:hAnsi="宋体"/>
                <w:color w:val="FF000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color w:val="FF0000"/>
                <w:sz w:val="21"/>
                <w:szCs w:val="21"/>
              </w:rPr>
            </w:pPr>
          </w:p>
          <w:p>
            <w:pPr>
              <w:jc w:val="left"/>
              <w:rPr>
                <w:b/>
                <w:sz w:val="21"/>
              </w:rPr>
            </w:pPr>
          </w:p>
          <w:p>
            <w:pPr>
              <w:jc w:val="left"/>
              <w:rPr>
                <w:b/>
                <w:sz w:val="21"/>
              </w:rPr>
            </w:pPr>
          </w:p>
          <w:p>
            <w:pPr>
              <w:jc w:val="left"/>
              <w:rPr>
                <w:b/>
                <w:sz w:val="21"/>
              </w:rPr>
            </w:pPr>
          </w:p>
          <w:p>
            <w:pPr>
              <w:jc w:val="left"/>
              <w:rPr>
                <w:b/>
                <w:sz w:val="21"/>
              </w:rPr>
            </w:pPr>
          </w:p>
          <w:p>
            <w:pPr>
              <w:jc w:val="left"/>
              <w:rPr>
                <w:b/>
                <w:sz w:val="21"/>
              </w:rPr>
            </w:pPr>
          </w:p>
          <w:p>
            <w:pPr>
              <w:jc w:val="left"/>
              <w:rPr>
                <w:b/>
                <w:sz w:val="21"/>
              </w:rPr>
            </w:pPr>
          </w:p>
          <w:p>
            <w:pPr>
              <w:jc w:val="left"/>
              <w:rPr>
                <w:b/>
                <w:sz w:val="21"/>
              </w:rPr>
            </w:pPr>
          </w:p>
          <w:p>
            <w:pPr>
              <w:jc w:val="left"/>
              <w:rPr>
                <w:b/>
                <w:sz w:val="21"/>
              </w:rPr>
            </w:pPr>
          </w:p>
          <w:p>
            <w:pPr>
              <w:jc w:val="left"/>
              <w:rPr>
                <w:b/>
                <w:sz w:val="21"/>
              </w:rPr>
            </w:pPr>
          </w:p>
          <w:p>
            <w:pPr>
              <w:jc w:val="left"/>
              <w:rPr>
                <w:b/>
                <w:sz w:val="21"/>
              </w:rPr>
            </w:pPr>
          </w:p>
          <w:p>
            <w:pPr>
              <w:jc w:val="left"/>
              <w:rPr>
                <w:b/>
                <w:sz w:val="21"/>
              </w:rPr>
            </w:pPr>
          </w:p>
          <w:p>
            <w:pPr>
              <w:jc w:val="left"/>
              <w:rPr>
                <w:b/>
                <w:sz w:val="21"/>
              </w:rPr>
            </w:pPr>
          </w:p>
          <w:p>
            <w:pPr>
              <w:jc w:val="left"/>
              <w:rPr>
                <w:b/>
                <w:sz w:val="21"/>
              </w:rPr>
            </w:pPr>
          </w:p>
          <w:p>
            <w:pPr>
              <w:jc w:val="left"/>
              <w:rPr>
                <w:b/>
                <w:sz w:val="21"/>
              </w:rPr>
            </w:pPr>
          </w:p>
          <w:p>
            <w:pPr>
              <w:jc w:val="left"/>
              <w:rPr>
                <w:b/>
                <w:sz w:val="21"/>
                <w:szCs w:val="24"/>
              </w:rPr>
            </w:pPr>
          </w:p>
          <w:p>
            <w:pPr>
              <w:jc w:val="left"/>
              <w:rPr>
                <w:b/>
                <w:sz w:val="21"/>
                <w:szCs w:val="24"/>
              </w:rPr>
            </w:pPr>
          </w:p>
          <w:p>
            <w:pPr>
              <w:jc w:val="left"/>
              <w:rPr>
                <w:b/>
                <w:sz w:val="21"/>
                <w:szCs w:val="24"/>
              </w:rPr>
            </w:pPr>
          </w:p>
          <w:p>
            <w:pPr>
              <w:jc w:val="left"/>
              <w:rPr>
                <w:b/>
                <w:sz w:val="21"/>
                <w:szCs w:val="24"/>
              </w:rPr>
            </w:pPr>
          </w:p>
          <w:p>
            <w:pPr>
              <w:jc w:val="left"/>
              <w:rPr>
                <w:b/>
                <w:sz w:val="21"/>
                <w:szCs w:val="24"/>
              </w:rPr>
            </w:pPr>
          </w:p>
          <w:p>
            <w:pPr>
              <w:jc w:val="left"/>
              <w:rPr>
                <w:b/>
                <w:sz w:val="21"/>
                <w:szCs w:val="24"/>
              </w:rPr>
            </w:pPr>
          </w:p>
        </w:tc>
      </w:tr>
    </w:tbl>
    <w:p>
      <w:pPr>
        <w:rPr>
          <w:b/>
          <w:sz w:val="22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425" w:num="2"/>
          <w:docGrid w:type="lines" w:linePitch="312" w:charSpace="0"/>
        </w:sect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注::红色部分为示例，请按示例格式填写。其中:</w:t>
      </w:r>
    </w:p>
    <w:p>
      <w:pPr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奖项格式</w:t>
      </w:r>
      <w:r>
        <w:rPr>
          <w:rFonts w:hint="eastAsia"/>
          <w:sz w:val="18"/>
          <w:szCs w:val="18"/>
        </w:rPr>
        <w:t>：获奖项目名称，获奖类别，排名，获奖时间；</w:t>
      </w:r>
      <w:r>
        <w:rPr>
          <w:rFonts w:hint="eastAsia"/>
          <w:b/>
          <w:sz w:val="18"/>
          <w:szCs w:val="18"/>
        </w:rPr>
        <w:t>项目成果格式</w:t>
      </w:r>
      <w:r>
        <w:rPr>
          <w:rFonts w:hint="eastAsia"/>
          <w:sz w:val="18"/>
          <w:szCs w:val="18"/>
        </w:rPr>
        <w:t>：项目、成果或专利来源，名称，编号，本人排名/总人数，经费（不含配套经费），项目批准时间；</w:t>
      </w:r>
    </w:p>
    <w:p>
      <w:pPr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论文格式</w:t>
      </w:r>
      <w:r>
        <w:rPr>
          <w:rFonts w:hint="eastAsia"/>
          <w:sz w:val="18"/>
          <w:szCs w:val="18"/>
        </w:rPr>
        <w:t>：</w:t>
      </w:r>
      <w:r>
        <w:rPr>
          <w:rFonts w:hint="eastAsia" w:ascii="宋体" w:hAnsi="宋体"/>
          <w:sz w:val="18"/>
          <w:szCs w:val="18"/>
        </w:rPr>
        <w:t>题目，身份（第一作者、通讯作者、指导研究生文章），刊物名称，年卷期页，刊物级别，类别。</w:t>
      </w:r>
    </w:p>
    <w:p>
      <w:pPr>
        <w:rPr>
          <w:sz w:val="18"/>
          <w:szCs w:val="18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djMDYyMWQyZTVlYzBiNGIyNDkzMGE4ODI2M2JjNDgifQ=="/>
  </w:docVars>
  <w:rsids>
    <w:rsidRoot w:val="00EF06DE"/>
    <w:rsid w:val="00117109"/>
    <w:rsid w:val="001D29C0"/>
    <w:rsid w:val="002D28BA"/>
    <w:rsid w:val="00534534"/>
    <w:rsid w:val="005D0CBB"/>
    <w:rsid w:val="006562AA"/>
    <w:rsid w:val="00680B07"/>
    <w:rsid w:val="007F4EAB"/>
    <w:rsid w:val="007F72FC"/>
    <w:rsid w:val="008F2B51"/>
    <w:rsid w:val="008F6980"/>
    <w:rsid w:val="00A4640D"/>
    <w:rsid w:val="00C9371D"/>
    <w:rsid w:val="00D85622"/>
    <w:rsid w:val="00E01E71"/>
    <w:rsid w:val="00EF06DE"/>
    <w:rsid w:val="00F6730A"/>
    <w:rsid w:val="00FB0E7F"/>
    <w:rsid w:val="00FF1A8F"/>
    <w:rsid w:val="2D327F3E"/>
    <w:rsid w:val="44955C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Cs/>
      <w:kern w:val="0"/>
      <w:sz w:val="28"/>
      <w:szCs w:val="2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widowControl/>
      <w:spacing w:line="300" w:lineRule="auto"/>
      <w:textAlignment w:val="baseline"/>
    </w:pPr>
    <w:rPr>
      <w:rFonts w:ascii="Times New Roman" w:hAnsi="Times New Roman"/>
      <w:bCs w:val="0"/>
      <w:color w:val="000000"/>
      <w:sz w:val="22"/>
      <w:u w:color="000000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Cs w:val="0"/>
      <w:kern w:val="2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Cs w:val="0"/>
      <w:kern w:val="2"/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0"/>
    <w:rPr>
      <w:rFonts w:ascii="Times New Roman" w:hAnsi="Times New Roman" w:eastAsia="宋体" w:cs="Times New Roman"/>
      <w:color w:val="000000"/>
      <w:kern w:val="0"/>
      <w:sz w:val="22"/>
      <w:szCs w:val="28"/>
      <w:u w:color="000000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Calibri" w:hAnsi="Calibri" w:eastAsia="宋体" w:cs="Times New Roman"/>
      <w:bCs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91</Words>
  <Characters>521</Characters>
  <Lines>4</Lines>
  <Paragraphs>1</Paragraphs>
  <TotalTime>18</TotalTime>
  <ScaleCrop>false</ScaleCrop>
  <LinksUpToDate>false</LinksUpToDate>
  <CharactersWithSpaces>611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2018-11-07T03:29:00Z</dcterms:created>
  <dc:creator>china</dc:creator>
  <cp:lastModifiedBy>spider</cp:lastModifiedBy>
  <cp:lastPrinted>2021-11-23T02:03:00Z</cp:lastPrinted>
  <dcterms:modified xsi:type="dcterms:W3CDTF">2023-03-30T01:29:07Z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617917DF7228417D92CB0BAD4D859BBD</vt:lpwstr>
  </property>
</Properties>
</file>